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dos recursos, correspondente a 25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28B2B373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execução da obra foi de xxx e, no dia xxx, o FNDE repassou ao Município o v</w:t>
      </w:r>
      <w:r w:rsidR="005F4DA4">
        <w:rPr>
          <w:rFonts w:ascii="Times New Roman" w:hAnsi="Times New Roman" w:cs="Times New Roman"/>
          <w:lang w:val="en-US"/>
        </w:rPr>
        <w:t>alor de xxx, correspondente a XX</w:t>
      </w:r>
      <w:r>
        <w:rPr>
          <w:rFonts w:ascii="Times New Roman" w:hAnsi="Times New Roman" w:cs="Times New Roman"/>
          <w:lang w:val="en-US"/>
        </w:rPr>
        <w:t xml:space="preserve">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50E72B7" w14:textId="40F41526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após</w:t>
      </w:r>
      <w:r w:rsidR="005F4DA4">
        <w:rPr>
          <w:rFonts w:ascii="Times New Roman" w:hAnsi="Times New Roman" w:cs="Times New Roman"/>
          <w:lang w:val="en-US"/>
        </w:rPr>
        <w:t xml:space="preserve"> diligência realizada pelo</w:t>
      </w:r>
      <w:r w:rsidRPr="005F4DA4">
        <w:rPr>
          <w:rFonts w:ascii="Times New Roman" w:hAnsi="Times New Roman" w:cs="Times New Roman"/>
          <w:lang w:val="en-US"/>
        </w:rPr>
        <w:t xml:space="preserve"> MPF </w:t>
      </w:r>
      <w:r w:rsidR="005F4DA4">
        <w:rPr>
          <w:rFonts w:ascii="Times New Roman" w:hAnsi="Times New Roman" w:cs="Times New Roman"/>
          <w:lang w:val="en-US"/>
        </w:rPr>
        <w:t xml:space="preserve">no local constatando que, embora existissem </w:t>
      </w:r>
      <w:r w:rsidRPr="005F4DA4">
        <w:rPr>
          <w:rFonts w:ascii="Times New Roman" w:hAnsi="Times New Roman" w:cs="Times New Roman"/>
          <w:lang w:val="en-US"/>
        </w:rPr>
        <w:t xml:space="preserve">sinais </w:t>
      </w:r>
      <w:r w:rsidR="005F4DA4">
        <w:rPr>
          <w:rFonts w:ascii="Times New Roman" w:hAnsi="Times New Roman" w:cs="Times New Roman"/>
          <w:lang w:val="en-US"/>
        </w:rPr>
        <w:t xml:space="preserve">físicos da </w:t>
      </w:r>
      <w:r w:rsidRPr="005F4DA4">
        <w:rPr>
          <w:rFonts w:ascii="Times New Roman" w:hAnsi="Times New Roman" w:cs="Times New Roman"/>
          <w:lang w:val="en-US"/>
        </w:rPr>
        <w:t>existência</w:t>
      </w:r>
      <w:r w:rsidR="005F4DA4">
        <w:rPr>
          <w:rFonts w:ascii="Times New Roman" w:hAnsi="Times New Roman" w:cs="Times New Roman"/>
          <w:lang w:val="en-US"/>
        </w:rPr>
        <w:t xml:space="preserve"> da obra,</w:t>
      </w:r>
      <w:r w:rsidRPr="005F4DA4">
        <w:rPr>
          <w:rFonts w:ascii="Times New Roman" w:hAnsi="Times New Roman" w:cs="Times New Roman"/>
          <w:lang w:val="en-US"/>
        </w:rPr>
        <w:t xml:space="preserve"> </w:t>
      </w:r>
      <w:r w:rsidR="00E06CD3">
        <w:rPr>
          <w:rFonts w:ascii="Times New Roman" w:hAnsi="Times New Roman" w:cs="Times New Roman"/>
          <w:lang w:val="en-US"/>
        </w:rPr>
        <w:t>a mesma encontrava-se INACABADA</w:t>
      </w:r>
      <w:bookmarkStart w:id="0" w:name="_GoBack"/>
      <w:bookmarkEnd w:id="0"/>
      <w:r w:rsidR="005F4DA4">
        <w:rPr>
          <w:rFonts w:ascii="Times New Roman" w:hAnsi="Times New Roman" w:cs="Times New Roman"/>
          <w:lang w:val="en-US"/>
        </w:rPr>
        <w:t xml:space="preserve">, foi encaminhado ofício ao Ministério Público do Estado XXXX, a fim de verificar se o Órgão tomaria providências visando a sua cocnlusão </w:t>
      </w:r>
      <w:r w:rsidRPr="005F4DA4">
        <w:rPr>
          <w:rFonts w:ascii="Times New Roman" w:hAnsi="Times New Roman" w:cs="Times New Roman"/>
          <w:lang w:val="en-US"/>
        </w:rPr>
        <w:t xml:space="preserve">(fls x). </w:t>
      </w:r>
    </w:p>
    <w:p w14:paraId="014AD546" w14:textId="77777777" w:rsidR="005F4DA4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EE48E63" w14:textId="09B254E8" w:rsidR="005F4DA4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 resposta, o MPXX comunicou que não será possível a </w:t>
      </w:r>
      <w:proofErr w:type="gramStart"/>
      <w:r>
        <w:rPr>
          <w:rFonts w:ascii="Times New Roman" w:hAnsi="Times New Roman" w:cs="Times New Roman"/>
          <w:lang w:val="en-US"/>
        </w:rPr>
        <w:t>retomada  da</w:t>
      </w:r>
      <w:proofErr w:type="gramEnd"/>
      <w:r>
        <w:rPr>
          <w:rFonts w:ascii="Times New Roman" w:hAnsi="Times New Roman" w:cs="Times New Roman"/>
          <w:lang w:val="en-US"/>
        </w:rPr>
        <w:t xml:space="preserve"> edificação pelos motivos que expõe no documento anexo (fls.x).</w:t>
      </w:r>
    </w:p>
    <w:p w14:paraId="31F22AAC" w14:textId="77777777" w:rsidR="005F4DA4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B29BDBF" w14:textId="4B524BB6" w:rsidR="005F4DA4" w:rsidRDefault="005F4DA4" w:rsidP="005F4DA4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Instado, o FNDE informou que, mesmo diante da não conclusão da obra, o ente municipal não havia efetuado a restituição do valor repassado (fls x). </w:t>
      </w:r>
    </w:p>
    <w:p w14:paraId="365394D3" w14:textId="30E819B5" w:rsidR="003C218F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</w:t>
      </w:r>
    </w:p>
    <w:p w14:paraId="532EF318" w14:textId="77777777" w:rsidR="005F4DA4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EE6BA2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1A0E75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0EC4E8DF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</w:t>
      </w:r>
      <w:r w:rsidR="00302803">
        <w:rPr>
          <w:rFonts w:ascii="Times New Roman" w:hAnsi="Times New Roman" w:cs="Times New Roman"/>
          <w:kern w:val="1"/>
          <w:lang w:val="en-US"/>
        </w:rPr>
        <w:t>já foram repassados a</w:t>
      </w:r>
      <w:r>
        <w:rPr>
          <w:rFonts w:ascii="Times New Roman" w:hAnsi="Times New Roman" w:cs="Times New Roman"/>
          <w:kern w:val="1"/>
          <w:lang w:val="en-US"/>
        </w:rPr>
        <w:t xml:space="preserve">o Município </w:t>
      </w:r>
      <w:r w:rsidR="00302803">
        <w:rPr>
          <w:rFonts w:ascii="Times New Roman" w:hAnsi="Times New Roman" w:cs="Times New Roman"/>
          <w:kern w:val="1"/>
          <w:lang w:val="en-US"/>
        </w:rPr>
        <w:t>XX% do valor pactuado com o FNDE, embora executado apenas XX% da construção, que se encontra paralisada e sem condições de ser retomada.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não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="00302803">
        <w:rPr>
          <w:rFonts w:ascii="Times New Roman" w:hAnsi="Times New Roman" w:cs="Times New Roman"/>
          <w:kern w:val="1"/>
          <w:lang w:val="en-US"/>
        </w:rPr>
        <w:t>tendo o município apresentado</w:t>
      </w:r>
      <w:r>
        <w:rPr>
          <w:rFonts w:ascii="Times New Roman" w:hAnsi="Times New Roman" w:cs="Times New Roman"/>
          <w:kern w:val="1"/>
          <w:lang w:val="en-US"/>
        </w:rPr>
        <w:t xml:space="preserve"> j</w:t>
      </w:r>
      <w:r w:rsidR="00302803">
        <w:rPr>
          <w:rFonts w:ascii="Times New Roman" w:hAnsi="Times New Roman" w:cs="Times New Roman"/>
          <w:kern w:val="1"/>
          <w:lang w:val="en-US"/>
        </w:rPr>
        <w:t>ustificativa plausível para tanto</w:t>
      </w:r>
      <w:r>
        <w:rPr>
          <w:rFonts w:ascii="Times New Roman" w:hAnsi="Times New Roman" w:cs="Times New Roman"/>
          <w:kern w:val="1"/>
          <w:lang w:val="en-US"/>
        </w:rPr>
        <w:t xml:space="preserve">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80322"/>
    <w:rsid w:val="000F53AC"/>
    <w:rsid w:val="00241675"/>
    <w:rsid w:val="00302803"/>
    <w:rsid w:val="003C218F"/>
    <w:rsid w:val="005F4DA4"/>
    <w:rsid w:val="00B32047"/>
    <w:rsid w:val="00C079FF"/>
    <w:rsid w:val="00DE4C1B"/>
    <w:rsid w:val="00E0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2544</Words>
  <Characters>14505</Characters>
  <Application>Microsoft Macintosh Word</Application>
  <DocSecurity>0</DocSecurity>
  <Lines>120</Lines>
  <Paragraphs>34</Paragraphs>
  <ScaleCrop>false</ScaleCrop>
  <Company/>
  <LinksUpToDate>false</LinksUpToDate>
  <CharactersWithSpaces>17015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2020-04-29T21:35:00Z</dcterms:created>
  <dcterms:modified xsi:type="dcterms:W3CDTF">2020-04-29T21:35:00Z</dcterms:modified>
</cp:coreProperties>
</file>